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sz w:val="36"/>
          <w:szCs w:val="36"/>
        </w:rPr>
      </w:pPr>
      <w:r>
        <w:rPr>
          <w:rFonts w:hint="eastAsia"/>
          <w:sz w:val="36"/>
          <w:szCs w:val="36"/>
          <w:lang w:eastAsia="zh-CN"/>
        </w:rPr>
        <w:t>附件</w:t>
      </w:r>
      <w:r>
        <w:rPr>
          <w:rFonts w:hint="eastAsia"/>
          <w:sz w:val="36"/>
          <w:szCs w:val="36"/>
        </w:rPr>
        <w:t>2.                    学院、科研单位国有资产绩效考核指标体系（A项）</w:t>
      </w:r>
    </w:p>
    <w:p>
      <w:pPr>
        <w:spacing w:after="0" w:line="240" w:lineRule="exact"/>
        <w:jc w:val="both"/>
        <w:rPr>
          <w:rFonts w:hint="eastAsia"/>
          <w:lang w:eastAsia="zh-CN"/>
        </w:rPr>
      </w:pPr>
      <w:r>
        <w:rPr>
          <w:rFonts w:hint="eastAsia"/>
          <w:lang w:eastAsia="zh-CN"/>
        </w:rPr>
        <w:t>填报单位：（章）</w:t>
      </w:r>
    </w:p>
    <w:tbl>
      <w:tblPr>
        <w:tblStyle w:val="6"/>
        <w:tblW w:w="15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2"/>
        <w:gridCol w:w="1125"/>
        <w:gridCol w:w="1969"/>
        <w:gridCol w:w="702"/>
        <w:gridCol w:w="7885"/>
        <w:gridCol w:w="98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92" w:type="dxa"/>
            <w:vAlign w:val="center"/>
          </w:tcPr>
          <w:p>
            <w:pPr>
              <w:spacing w:after="0"/>
              <w:jc w:val="center"/>
            </w:pPr>
            <w:r>
              <w:t>一级指标</w:t>
            </w:r>
          </w:p>
        </w:tc>
        <w:tc>
          <w:tcPr>
            <w:tcW w:w="702" w:type="dxa"/>
            <w:vAlign w:val="center"/>
          </w:tcPr>
          <w:p>
            <w:pPr>
              <w:spacing w:after="0"/>
              <w:jc w:val="center"/>
            </w:pPr>
            <w:r>
              <w:t>分值</w:t>
            </w:r>
          </w:p>
        </w:tc>
        <w:tc>
          <w:tcPr>
            <w:tcW w:w="1125" w:type="dxa"/>
            <w:vAlign w:val="center"/>
          </w:tcPr>
          <w:p>
            <w:pPr>
              <w:spacing w:after="0"/>
              <w:jc w:val="center"/>
            </w:pPr>
            <w:r>
              <w:t>二级指标</w:t>
            </w:r>
          </w:p>
        </w:tc>
        <w:tc>
          <w:tcPr>
            <w:tcW w:w="1969" w:type="dxa"/>
            <w:vAlign w:val="center"/>
          </w:tcPr>
          <w:p>
            <w:pPr>
              <w:spacing w:after="0"/>
              <w:jc w:val="center"/>
            </w:pPr>
            <w:r>
              <w:t>三级指标</w:t>
            </w:r>
          </w:p>
        </w:tc>
        <w:tc>
          <w:tcPr>
            <w:tcW w:w="702" w:type="dxa"/>
            <w:vAlign w:val="center"/>
          </w:tcPr>
          <w:p>
            <w:pPr>
              <w:spacing w:after="0"/>
              <w:jc w:val="center"/>
            </w:pPr>
            <w:r>
              <w:t>分值</w:t>
            </w:r>
          </w:p>
        </w:tc>
        <w:tc>
          <w:tcPr>
            <w:tcW w:w="7885" w:type="dxa"/>
            <w:vAlign w:val="center"/>
          </w:tcPr>
          <w:p>
            <w:pPr>
              <w:spacing w:after="0"/>
              <w:jc w:val="center"/>
            </w:pPr>
            <w:r>
              <w:t>评分标准</w:t>
            </w:r>
          </w:p>
        </w:tc>
        <w:tc>
          <w:tcPr>
            <w:tcW w:w="984" w:type="dxa"/>
            <w:vAlign w:val="center"/>
          </w:tcPr>
          <w:p>
            <w:pPr>
              <w:jc w:val="center"/>
            </w:pPr>
            <w:r>
              <w:t>自评分</w:t>
            </w:r>
          </w:p>
        </w:tc>
        <w:tc>
          <w:tcPr>
            <w:tcW w:w="877" w:type="dxa"/>
            <w:vAlign w:val="center"/>
          </w:tcPr>
          <w:p>
            <w:pPr>
              <w:jc w:val="center"/>
            </w:pPr>
            <w: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92" w:type="dxa"/>
            <w:vMerge w:val="restart"/>
            <w:vAlign w:val="center"/>
          </w:tcPr>
          <w:p>
            <w:pPr>
              <w:spacing w:after="0"/>
              <w:jc w:val="center"/>
            </w:pPr>
            <w:r>
              <w:rPr>
                <w:rFonts w:hint="eastAsia"/>
              </w:rPr>
              <w:t>管理</w:t>
            </w:r>
            <w:r>
              <w:t>制度与队伍建设</w:t>
            </w:r>
          </w:p>
        </w:tc>
        <w:tc>
          <w:tcPr>
            <w:tcW w:w="702" w:type="dxa"/>
            <w:vMerge w:val="restart"/>
            <w:vAlign w:val="center"/>
          </w:tcPr>
          <w:p>
            <w:pPr>
              <w:spacing w:after="0"/>
              <w:jc w:val="center"/>
            </w:pPr>
            <w:r>
              <w:rPr>
                <w:rFonts w:hint="eastAsia"/>
              </w:rPr>
              <w:t>10</w:t>
            </w:r>
          </w:p>
        </w:tc>
        <w:tc>
          <w:tcPr>
            <w:tcW w:w="1125" w:type="dxa"/>
            <w:vAlign w:val="center"/>
          </w:tcPr>
          <w:p>
            <w:pPr>
              <w:spacing w:after="0"/>
              <w:jc w:val="center"/>
            </w:pPr>
            <w:r>
              <w:t>组织领导与决策</w:t>
            </w:r>
          </w:p>
        </w:tc>
        <w:tc>
          <w:tcPr>
            <w:tcW w:w="1969" w:type="dxa"/>
            <w:vAlign w:val="center"/>
          </w:tcPr>
          <w:p>
            <w:pPr>
              <w:spacing w:after="0" w:line="240" w:lineRule="exact"/>
              <w:jc w:val="both"/>
            </w:pPr>
            <w:r>
              <w:t>领导分工与集体决策机制</w:t>
            </w:r>
            <w:r>
              <w:rPr>
                <w:rFonts w:hint="eastAsia"/>
              </w:rPr>
              <w:t>执行</w:t>
            </w:r>
          </w:p>
        </w:tc>
        <w:tc>
          <w:tcPr>
            <w:tcW w:w="702" w:type="dxa"/>
            <w:vAlign w:val="center"/>
          </w:tcPr>
          <w:p>
            <w:pPr>
              <w:spacing w:after="0" w:line="240" w:lineRule="exact"/>
              <w:jc w:val="center"/>
            </w:pPr>
            <w:r>
              <w:rPr>
                <w:rFonts w:hint="eastAsia"/>
              </w:rPr>
              <w:t>2</w:t>
            </w:r>
          </w:p>
        </w:tc>
        <w:tc>
          <w:tcPr>
            <w:tcW w:w="7885" w:type="dxa"/>
            <w:vAlign w:val="center"/>
          </w:tcPr>
          <w:p>
            <w:pPr>
              <w:spacing w:after="0" w:line="360" w:lineRule="exact"/>
              <w:jc w:val="both"/>
            </w:pPr>
            <w:r>
              <w:rPr>
                <w:rFonts w:hint="eastAsia"/>
              </w:rPr>
              <w:t>1.成立资产管理工作小组，明确资产管理工作分管领导（1分）；</w:t>
            </w:r>
          </w:p>
          <w:p>
            <w:pPr>
              <w:spacing w:after="0" w:line="360" w:lineRule="exact"/>
              <w:jc w:val="both"/>
            </w:pPr>
            <w:r>
              <w:rPr>
                <w:rFonts w:hint="eastAsia"/>
              </w:rPr>
              <w:t>2.发扬民主，集体决策，每年资产管理工作会议不少于2次，有会议记录，主要包含决策事项、参会人员、时间、会议图片等（1分）。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92" w:type="dxa"/>
            <w:vMerge w:val="continue"/>
            <w:vAlign w:val="center"/>
          </w:tcPr>
          <w:p>
            <w:pPr>
              <w:spacing w:after="0"/>
              <w:jc w:val="center"/>
            </w:pPr>
          </w:p>
        </w:tc>
        <w:tc>
          <w:tcPr>
            <w:tcW w:w="702" w:type="dxa"/>
            <w:vMerge w:val="continue"/>
            <w:vAlign w:val="center"/>
          </w:tcPr>
          <w:p>
            <w:pPr>
              <w:spacing w:after="0"/>
              <w:jc w:val="center"/>
            </w:pPr>
          </w:p>
        </w:tc>
        <w:tc>
          <w:tcPr>
            <w:tcW w:w="1125" w:type="dxa"/>
            <w:vAlign w:val="center"/>
          </w:tcPr>
          <w:p>
            <w:pPr>
              <w:spacing w:after="0"/>
              <w:jc w:val="center"/>
            </w:pPr>
            <w:r>
              <w:rPr>
                <w:rFonts w:hint="eastAsia"/>
              </w:rPr>
              <w:t>队伍建设</w:t>
            </w:r>
          </w:p>
        </w:tc>
        <w:tc>
          <w:tcPr>
            <w:tcW w:w="1969" w:type="dxa"/>
            <w:vAlign w:val="center"/>
          </w:tcPr>
          <w:p>
            <w:pPr>
              <w:spacing w:after="0" w:line="240" w:lineRule="exact"/>
              <w:jc w:val="both"/>
            </w:pPr>
            <w:r>
              <w:t>专（兼）职资产管理员</w:t>
            </w:r>
            <w:r>
              <w:rPr>
                <w:rFonts w:hint="eastAsia"/>
              </w:rPr>
              <w:t>设置及</w:t>
            </w:r>
            <w:r>
              <w:t>岗位责任</w:t>
            </w:r>
            <w:r>
              <w:rPr>
                <w:rFonts w:hint="eastAsia"/>
              </w:rPr>
              <w:t>履行</w:t>
            </w:r>
          </w:p>
        </w:tc>
        <w:tc>
          <w:tcPr>
            <w:tcW w:w="702" w:type="dxa"/>
            <w:vAlign w:val="center"/>
          </w:tcPr>
          <w:p>
            <w:pPr>
              <w:spacing w:after="0" w:line="240" w:lineRule="exact"/>
              <w:jc w:val="center"/>
            </w:pPr>
            <w:r>
              <w:rPr>
                <w:rFonts w:hint="eastAsia"/>
              </w:rPr>
              <w:t>2</w:t>
            </w:r>
          </w:p>
        </w:tc>
        <w:tc>
          <w:tcPr>
            <w:tcW w:w="7885" w:type="dxa"/>
            <w:vAlign w:val="center"/>
          </w:tcPr>
          <w:p>
            <w:pPr>
              <w:spacing w:after="0" w:line="360" w:lineRule="exact"/>
              <w:jc w:val="both"/>
            </w:pPr>
            <w:r>
              <w:rPr>
                <w:rFonts w:hint="eastAsia"/>
              </w:rPr>
              <w:t>1.资产管理队伍相对稳定，</w:t>
            </w:r>
            <w:r>
              <w:t>有专（兼）职资产管理人</w:t>
            </w:r>
            <w:r>
              <w:rPr>
                <w:rFonts w:hint="eastAsia"/>
              </w:rPr>
              <w:t>员</w:t>
            </w:r>
            <w:r>
              <w:t>（</w:t>
            </w:r>
            <w:r>
              <w:rPr>
                <w:rFonts w:hint="eastAsia"/>
              </w:rPr>
              <w:t>1分</w:t>
            </w:r>
            <w:r>
              <w:t>）</w:t>
            </w:r>
            <w:r>
              <w:rPr>
                <w:rFonts w:hint="eastAsia"/>
              </w:rPr>
              <w:t>；</w:t>
            </w:r>
          </w:p>
          <w:p>
            <w:pPr>
              <w:spacing w:after="0" w:line="360" w:lineRule="exact"/>
              <w:jc w:val="both"/>
            </w:pPr>
            <w:r>
              <w:rPr>
                <w:rFonts w:hint="eastAsia"/>
              </w:rPr>
              <w:t>2.能够熟练掌握资产管理业务，管理责任意识强，积极参加业务培训（1分）。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92" w:type="dxa"/>
            <w:vMerge w:val="continue"/>
            <w:vAlign w:val="center"/>
          </w:tcPr>
          <w:p>
            <w:pPr>
              <w:spacing w:after="0"/>
              <w:jc w:val="center"/>
            </w:pPr>
          </w:p>
        </w:tc>
        <w:tc>
          <w:tcPr>
            <w:tcW w:w="702" w:type="dxa"/>
            <w:vMerge w:val="continue"/>
            <w:vAlign w:val="center"/>
          </w:tcPr>
          <w:p>
            <w:pPr>
              <w:spacing w:after="0"/>
              <w:jc w:val="center"/>
            </w:pPr>
          </w:p>
        </w:tc>
        <w:tc>
          <w:tcPr>
            <w:tcW w:w="1125" w:type="dxa"/>
            <w:vAlign w:val="center"/>
          </w:tcPr>
          <w:p>
            <w:pPr>
              <w:spacing w:after="0"/>
              <w:jc w:val="center"/>
            </w:pPr>
            <w:r>
              <w:t>制度建设与执行</w:t>
            </w:r>
          </w:p>
        </w:tc>
        <w:tc>
          <w:tcPr>
            <w:tcW w:w="1969" w:type="dxa"/>
            <w:vAlign w:val="center"/>
          </w:tcPr>
          <w:p>
            <w:pPr>
              <w:spacing w:after="0" w:line="240" w:lineRule="exact"/>
              <w:jc w:val="both"/>
            </w:pPr>
            <w:r>
              <w:rPr>
                <w:rFonts w:hint="eastAsia"/>
              </w:rPr>
              <w:t>国有</w:t>
            </w:r>
            <w:r>
              <w:t>资产管理制度</w:t>
            </w:r>
            <w:r>
              <w:rPr>
                <w:rFonts w:hint="eastAsia"/>
              </w:rPr>
              <w:t>、低值材料易耗品内控管理办法、无形资产管理制度执行情况</w:t>
            </w:r>
          </w:p>
        </w:tc>
        <w:tc>
          <w:tcPr>
            <w:tcW w:w="702" w:type="dxa"/>
            <w:vAlign w:val="center"/>
          </w:tcPr>
          <w:p>
            <w:pPr>
              <w:spacing w:after="0" w:line="240" w:lineRule="exact"/>
              <w:jc w:val="center"/>
            </w:pPr>
            <w:r>
              <w:rPr>
                <w:rFonts w:hint="eastAsia"/>
              </w:rPr>
              <w:t>6</w:t>
            </w:r>
          </w:p>
        </w:tc>
        <w:tc>
          <w:tcPr>
            <w:tcW w:w="7885" w:type="dxa"/>
            <w:vAlign w:val="center"/>
          </w:tcPr>
          <w:p>
            <w:pPr>
              <w:spacing w:after="0" w:line="360" w:lineRule="exact"/>
              <w:jc w:val="both"/>
            </w:pPr>
            <w:r>
              <w:rPr>
                <w:rFonts w:hint="eastAsia"/>
              </w:rPr>
              <w:t>1.有相关国有资产购置计划论证、资产验收、资产维护、资产清查、申请处置等材料（2分）；</w:t>
            </w:r>
          </w:p>
          <w:p>
            <w:pPr>
              <w:spacing w:after="0" w:line="360" w:lineRule="exact"/>
              <w:jc w:val="both"/>
            </w:pPr>
            <w:r>
              <w:rPr>
                <w:rFonts w:hint="eastAsia"/>
              </w:rPr>
              <w:t>2.建立无形资产台账，收益足额上缴财务（2分）；</w:t>
            </w:r>
          </w:p>
          <w:p>
            <w:pPr>
              <w:spacing w:after="0" w:line="360" w:lineRule="exact"/>
              <w:jc w:val="both"/>
            </w:pPr>
            <w:r>
              <w:rPr>
                <w:rFonts w:hint="eastAsia"/>
              </w:rPr>
              <w:t>3.建立低值材料易耗品采购、领用等内控监督管理制度，定期进行账务核查，有核查记录（2分）。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1092" w:type="dxa"/>
            <w:vMerge w:val="restart"/>
            <w:vAlign w:val="center"/>
          </w:tcPr>
          <w:p>
            <w:pPr>
              <w:spacing w:after="0"/>
              <w:jc w:val="center"/>
            </w:pPr>
            <w:r>
              <w:t>业务管理</w:t>
            </w:r>
          </w:p>
        </w:tc>
        <w:tc>
          <w:tcPr>
            <w:tcW w:w="702" w:type="dxa"/>
            <w:vMerge w:val="restart"/>
            <w:vAlign w:val="center"/>
          </w:tcPr>
          <w:p>
            <w:pPr>
              <w:spacing w:after="0"/>
              <w:jc w:val="center"/>
            </w:pPr>
            <w:r>
              <w:rPr>
                <w:rFonts w:hint="eastAsia"/>
              </w:rPr>
              <w:t>70</w:t>
            </w:r>
          </w:p>
        </w:tc>
        <w:tc>
          <w:tcPr>
            <w:tcW w:w="1125" w:type="dxa"/>
            <w:vAlign w:val="center"/>
          </w:tcPr>
          <w:p>
            <w:pPr>
              <w:spacing w:after="0"/>
              <w:jc w:val="center"/>
            </w:pPr>
            <w:r>
              <w:t>资产</w:t>
            </w:r>
            <w:r>
              <w:rPr>
                <w:rFonts w:hint="eastAsia"/>
              </w:rPr>
              <w:t>设备</w:t>
            </w:r>
            <w:r>
              <w:t>管理</w:t>
            </w:r>
          </w:p>
        </w:tc>
        <w:tc>
          <w:tcPr>
            <w:tcW w:w="1969" w:type="dxa"/>
            <w:vAlign w:val="center"/>
          </w:tcPr>
          <w:p>
            <w:pPr>
              <w:spacing w:after="0" w:line="240" w:lineRule="exact"/>
              <w:jc w:val="both"/>
            </w:pPr>
            <w:r>
              <w:rPr>
                <w:rFonts w:hint="eastAsia"/>
              </w:rPr>
              <w:t>资产的验收、入库、建账、变动、调剂、退库、申请处置等，以及相应的档案管理工作</w:t>
            </w:r>
          </w:p>
        </w:tc>
        <w:tc>
          <w:tcPr>
            <w:tcW w:w="702" w:type="dxa"/>
            <w:vAlign w:val="center"/>
          </w:tcPr>
          <w:p>
            <w:pPr>
              <w:spacing w:after="0" w:line="240" w:lineRule="exact"/>
              <w:jc w:val="center"/>
            </w:pPr>
            <w:r>
              <w:rPr>
                <w:rFonts w:hint="eastAsia"/>
              </w:rPr>
              <w:t>20</w:t>
            </w:r>
          </w:p>
        </w:tc>
        <w:tc>
          <w:tcPr>
            <w:tcW w:w="7885" w:type="dxa"/>
            <w:vAlign w:val="center"/>
          </w:tcPr>
          <w:p>
            <w:pPr>
              <w:spacing w:after="0" w:line="360" w:lineRule="exact"/>
              <w:jc w:val="both"/>
            </w:pPr>
            <w:r>
              <w:rPr>
                <w:rFonts w:hint="eastAsia"/>
              </w:rPr>
              <w:t>1.各类资产严格按程序及时进行验收、入库、建账、变动、调剂、退库、申请处置等（6分）；</w:t>
            </w:r>
          </w:p>
          <w:p>
            <w:pPr>
              <w:spacing w:after="0" w:line="360" w:lineRule="exact"/>
              <w:jc w:val="both"/>
            </w:pPr>
            <w:r>
              <w:rPr>
                <w:rFonts w:hint="eastAsia"/>
              </w:rPr>
              <w:t>2.出租出借符合学校规定，手续完备（3分）；</w:t>
            </w:r>
          </w:p>
          <w:p>
            <w:pPr>
              <w:spacing w:after="0" w:line="360" w:lineRule="exact"/>
              <w:jc w:val="both"/>
            </w:pPr>
            <w:r>
              <w:rPr>
                <w:rFonts w:hint="eastAsia"/>
              </w:rPr>
              <w:t>3.各类资产维修及时，完好率高（2分）;</w:t>
            </w:r>
          </w:p>
          <w:p>
            <w:pPr>
              <w:spacing w:after="0" w:line="360" w:lineRule="exact"/>
              <w:jc w:val="both"/>
            </w:pPr>
            <w:r>
              <w:rPr>
                <w:rFonts w:hint="eastAsia"/>
              </w:rPr>
              <w:t>4.每年组织不少于1次的资产清查，保证资产信息完整，“账卡物码”相符（6分）；</w:t>
            </w:r>
          </w:p>
          <w:p>
            <w:pPr>
              <w:spacing w:after="0" w:line="360" w:lineRule="exact"/>
              <w:jc w:val="both"/>
            </w:pPr>
            <w:r>
              <w:rPr>
                <w:rFonts w:hint="eastAsia"/>
              </w:rPr>
              <w:t>5.开展资产的安全检查工作，消除各类安全隐患，并有相关安全检查记录（3分）。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092" w:type="dxa"/>
            <w:vMerge w:val="continue"/>
            <w:vAlign w:val="center"/>
          </w:tcPr>
          <w:p>
            <w:pPr>
              <w:spacing w:after="0"/>
              <w:jc w:val="center"/>
            </w:pPr>
          </w:p>
        </w:tc>
        <w:tc>
          <w:tcPr>
            <w:tcW w:w="702" w:type="dxa"/>
            <w:vMerge w:val="continue"/>
            <w:vAlign w:val="center"/>
          </w:tcPr>
          <w:p>
            <w:pPr>
              <w:spacing w:after="0"/>
              <w:jc w:val="center"/>
            </w:pPr>
          </w:p>
        </w:tc>
        <w:tc>
          <w:tcPr>
            <w:tcW w:w="1125" w:type="dxa"/>
            <w:vMerge w:val="restart"/>
            <w:vAlign w:val="center"/>
          </w:tcPr>
          <w:p>
            <w:pPr>
              <w:spacing w:after="0"/>
              <w:jc w:val="center"/>
            </w:pPr>
            <w:r>
              <w:t>公用房屋</w:t>
            </w:r>
            <w:r>
              <w:rPr>
                <w:rFonts w:hint="eastAsia"/>
              </w:rPr>
              <w:t>管理</w:t>
            </w:r>
          </w:p>
        </w:tc>
        <w:tc>
          <w:tcPr>
            <w:tcW w:w="1969" w:type="dxa"/>
            <w:vAlign w:val="center"/>
          </w:tcPr>
          <w:p>
            <w:pPr>
              <w:spacing w:after="0" w:line="240" w:lineRule="exact"/>
              <w:jc w:val="both"/>
            </w:pPr>
            <w:r>
              <w:t>公用房屋调配</w:t>
            </w:r>
          </w:p>
        </w:tc>
        <w:tc>
          <w:tcPr>
            <w:tcW w:w="702" w:type="dxa"/>
            <w:vAlign w:val="center"/>
          </w:tcPr>
          <w:p>
            <w:pPr>
              <w:spacing w:after="0" w:line="240" w:lineRule="exact"/>
              <w:jc w:val="center"/>
            </w:pPr>
            <w:r>
              <w:rPr>
                <w:rFonts w:hint="eastAsia"/>
              </w:rPr>
              <w:t>15</w:t>
            </w:r>
          </w:p>
        </w:tc>
        <w:tc>
          <w:tcPr>
            <w:tcW w:w="7885" w:type="dxa"/>
            <w:vAlign w:val="center"/>
          </w:tcPr>
          <w:p>
            <w:pPr>
              <w:spacing w:after="0" w:line="360" w:lineRule="exact"/>
              <w:jc w:val="both"/>
            </w:pPr>
            <w:r>
              <w:rPr>
                <w:rFonts w:hint="eastAsia"/>
              </w:rPr>
              <w:t>1.主动将闲置房屋上交学校安排使用（6分）；</w:t>
            </w:r>
          </w:p>
          <w:p>
            <w:pPr>
              <w:spacing w:after="0" w:line="360" w:lineRule="exact"/>
              <w:jc w:val="both"/>
            </w:pPr>
            <w:r>
              <w:rPr>
                <w:rFonts w:hint="eastAsia"/>
              </w:rPr>
              <w:t>2.利用高效无闲置（9分）；</w:t>
            </w:r>
          </w:p>
          <w:p>
            <w:pPr>
              <w:spacing w:after="0" w:line="360" w:lineRule="exact"/>
              <w:jc w:val="both"/>
            </w:pPr>
            <w:r>
              <w:rPr>
                <w:rFonts w:hint="eastAsia"/>
              </w:rPr>
              <w:t>注：闲置浪费或不服从统筹安排上交学校的此项不得分。</w:t>
            </w:r>
          </w:p>
        </w:tc>
        <w:tc>
          <w:tcPr>
            <w:tcW w:w="984" w:type="dxa"/>
            <w:vMerge w:val="restart"/>
          </w:tcPr>
          <w:p/>
        </w:tc>
        <w:tc>
          <w:tcPr>
            <w:tcW w:w="877"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2" w:type="dxa"/>
            <w:vMerge w:val="continue"/>
            <w:vAlign w:val="center"/>
          </w:tcPr>
          <w:p>
            <w:pPr>
              <w:spacing w:after="0"/>
              <w:jc w:val="center"/>
            </w:pPr>
          </w:p>
        </w:tc>
        <w:tc>
          <w:tcPr>
            <w:tcW w:w="702" w:type="dxa"/>
            <w:vMerge w:val="continue"/>
            <w:vAlign w:val="center"/>
          </w:tcPr>
          <w:p>
            <w:pPr>
              <w:spacing w:after="0"/>
              <w:jc w:val="center"/>
            </w:pPr>
          </w:p>
        </w:tc>
        <w:tc>
          <w:tcPr>
            <w:tcW w:w="1125" w:type="dxa"/>
            <w:vMerge w:val="continue"/>
            <w:vAlign w:val="center"/>
          </w:tcPr>
          <w:p>
            <w:pPr>
              <w:spacing w:after="0"/>
              <w:jc w:val="center"/>
            </w:pPr>
          </w:p>
        </w:tc>
        <w:tc>
          <w:tcPr>
            <w:tcW w:w="1969" w:type="dxa"/>
            <w:vAlign w:val="center"/>
          </w:tcPr>
          <w:p>
            <w:pPr>
              <w:spacing w:after="0" w:line="240" w:lineRule="exact"/>
              <w:jc w:val="both"/>
            </w:pPr>
            <w:r>
              <w:t>学校公用房屋管理规定</w:t>
            </w:r>
            <w:r>
              <w:rPr>
                <w:rFonts w:hint="eastAsia"/>
              </w:rPr>
              <w:t>执行情况</w:t>
            </w:r>
          </w:p>
        </w:tc>
        <w:tc>
          <w:tcPr>
            <w:tcW w:w="702" w:type="dxa"/>
            <w:vAlign w:val="center"/>
          </w:tcPr>
          <w:p>
            <w:pPr>
              <w:spacing w:after="0" w:line="240" w:lineRule="exact"/>
              <w:jc w:val="center"/>
            </w:pPr>
            <w:r>
              <w:rPr>
                <w:rFonts w:hint="eastAsia"/>
              </w:rPr>
              <w:t>10</w:t>
            </w:r>
          </w:p>
        </w:tc>
        <w:tc>
          <w:tcPr>
            <w:tcW w:w="7885" w:type="dxa"/>
            <w:vAlign w:val="center"/>
          </w:tcPr>
          <w:p>
            <w:pPr>
              <w:spacing w:after="0" w:line="360" w:lineRule="exact"/>
              <w:jc w:val="both"/>
            </w:pPr>
            <w:r>
              <w:t>严格执行党政机关办公用房使用标准，不违规使用房屋，无擅自改变房屋结构</w:t>
            </w:r>
            <w:r>
              <w:rPr>
                <w:rFonts w:hint="eastAsia"/>
              </w:rPr>
              <w:t>情况</w:t>
            </w:r>
            <w:r>
              <w:t>（</w:t>
            </w:r>
            <w:r>
              <w:rPr>
                <w:rFonts w:hint="eastAsia"/>
              </w:rPr>
              <w:t>10分</w:t>
            </w:r>
            <w:r>
              <w:t>）</w:t>
            </w:r>
            <w:r>
              <w:rPr>
                <w:rFonts w:hint="eastAsia"/>
              </w:rPr>
              <w:t>。</w:t>
            </w:r>
          </w:p>
        </w:tc>
        <w:tc>
          <w:tcPr>
            <w:tcW w:w="984" w:type="dxa"/>
            <w:vMerge w:val="continue"/>
          </w:tcPr>
          <w:p/>
        </w:tc>
        <w:tc>
          <w:tcPr>
            <w:tcW w:w="8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92" w:type="dxa"/>
            <w:vAlign w:val="center"/>
          </w:tcPr>
          <w:p>
            <w:pPr>
              <w:spacing w:after="0"/>
              <w:jc w:val="center"/>
            </w:pPr>
            <w:r>
              <w:t>一级指标</w:t>
            </w:r>
          </w:p>
        </w:tc>
        <w:tc>
          <w:tcPr>
            <w:tcW w:w="702" w:type="dxa"/>
            <w:vAlign w:val="center"/>
          </w:tcPr>
          <w:p>
            <w:pPr>
              <w:spacing w:after="0" w:line="320" w:lineRule="exact"/>
              <w:jc w:val="center"/>
            </w:pPr>
            <w:r>
              <w:t>分值</w:t>
            </w:r>
          </w:p>
        </w:tc>
        <w:tc>
          <w:tcPr>
            <w:tcW w:w="1125" w:type="dxa"/>
            <w:vAlign w:val="center"/>
          </w:tcPr>
          <w:p>
            <w:pPr>
              <w:spacing w:after="0" w:line="320" w:lineRule="exact"/>
              <w:jc w:val="center"/>
            </w:pPr>
            <w:r>
              <w:t>二级指标</w:t>
            </w:r>
          </w:p>
        </w:tc>
        <w:tc>
          <w:tcPr>
            <w:tcW w:w="1969" w:type="dxa"/>
            <w:vAlign w:val="center"/>
          </w:tcPr>
          <w:p>
            <w:pPr>
              <w:spacing w:after="0" w:line="320" w:lineRule="exact"/>
              <w:jc w:val="center"/>
            </w:pPr>
            <w:r>
              <w:t>三级指标</w:t>
            </w:r>
          </w:p>
        </w:tc>
        <w:tc>
          <w:tcPr>
            <w:tcW w:w="702" w:type="dxa"/>
            <w:vAlign w:val="center"/>
          </w:tcPr>
          <w:p>
            <w:pPr>
              <w:spacing w:after="0" w:line="320" w:lineRule="exact"/>
              <w:jc w:val="center"/>
            </w:pPr>
            <w:r>
              <w:t>分值</w:t>
            </w:r>
          </w:p>
        </w:tc>
        <w:tc>
          <w:tcPr>
            <w:tcW w:w="7885" w:type="dxa"/>
            <w:vAlign w:val="center"/>
          </w:tcPr>
          <w:p>
            <w:pPr>
              <w:spacing w:after="0" w:line="320" w:lineRule="exact"/>
              <w:jc w:val="center"/>
            </w:pPr>
            <w:r>
              <w:t>评分标准</w:t>
            </w:r>
          </w:p>
        </w:tc>
        <w:tc>
          <w:tcPr>
            <w:tcW w:w="984" w:type="dxa"/>
            <w:vAlign w:val="center"/>
          </w:tcPr>
          <w:p>
            <w:pPr>
              <w:jc w:val="center"/>
            </w:pPr>
            <w:r>
              <w:t>自评分</w:t>
            </w:r>
          </w:p>
        </w:tc>
        <w:tc>
          <w:tcPr>
            <w:tcW w:w="877" w:type="dxa"/>
            <w:vAlign w:val="center"/>
          </w:tcPr>
          <w:p>
            <w:pPr>
              <w:jc w:val="center"/>
            </w:pPr>
            <w: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92" w:type="dxa"/>
            <w:vMerge w:val="restart"/>
            <w:vAlign w:val="center"/>
          </w:tcPr>
          <w:p>
            <w:pPr>
              <w:spacing w:after="0"/>
              <w:jc w:val="center"/>
            </w:pPr>
          </w:p>
        </w:tc>
        <w:tc>
          <w:tcPr>
            <w:tcW w:w="702" w:type="dxa"/>
            <w:vMerge w:val="restart"/>
            <w:vAlign w:val="center"/>
          </w:tcPr>
          <w:p>
            <w:pPr>
              <w:spacing w:after="0" w:line="320" w:lineRule="exact"/>
              <w:jc w:val="center"/>
            </w:pPr>
          </w:p>
        </w:tc>
        <w:tc>
          <w:tcPr>
            <w:tcW w:w="1125" w:type="dxa"/>
            <w:vMerge w:val="restart"/>
            <w:vAlign w:val="center"/>
          </w:tcPr>
          <w:p>
            <w:pPr>
              <w:jc w:val="center"/>
            </w:pPr>
            <w:r>
              <w:rPr>
                <w:rFonts w:hint="eastAsia"/>
              </w:rPr>
              <w:t>大型仪器设备</w:t>
            </w:r>
          </w:p>
        </w:tc>
        <w:tc>
          <w:tcPr>
            <w:tcW w:w="1969" w:type="dxa"/>
            <w:vAlign w:val="center"/>
          </w:tcPr>
          <w:p>
            <w:pPr>
              <w:spacing w:after="0" w:line="280" w:lineRule="exact"/>
              <w:jc w:val="both"/>
            </w:pPr>
            <w:r>
              <w:t>大型仪器设备使用效率</w:t>
            </w:r>
          </w:p>
        </w:tc>
        <w:tc>
          <w:tcPr>
            <w:tcW w:w="702" w:type="dxa"/>
            <w:vAlign w:val="center"/>
          </w:tcPr>
          <w:p>
            <w:pPr>
              <w:spacing w:after="0" w:line="280" w:lineRule="exact"/>
              <w:jc w:val="center"/>
            </w:pPr>
            <w:r>
              <w:rPr>
                <w:rFonts w:hint="eastAsia"/>
              </w:rPr>
              <w:t>10</w:t>
            </w:r>
          </w:p>
        </w:tc>
        <w:tc>
          <w:tcPr>
            <w:tcW w:w="7885" w:type="dxa"/>
            <w:vAlign w:val="center"/>
          </w:tcPr>
          <w:p>
            <w:pPr>
              <w:spacing w:after="0" w:line="280" w:lineRule="exact"/>
              <w:jc w:val="both"/>
            </w:pPr>
            <w:r>
              <w:rPr>
                <w:rFonts w:hint="eastAsia"/>
              </w:rPr>
              <w:t>由实验与网络信息中心</w:t>
            </w:r>
            <w:r>
              <w:t>根据</w:t>
            </w:r>
            <w:r>
              <w:rPr>
                <w:rFonts w:hint="eastAsia"/>
              </w:rPr>
              <w:t>工作记录考核赋分。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2" w:type="dxa"/>
            <w:vMerge w:val="continue"/>
            <w:vAlign w:val="center"/>
          </w:tcPr>
          <w:p>
            <w:pPr>
              <w:spacing w:after="0"/>
              <w:jc w:val="center"/>
            </w:pPr>
          </w:p>
        </w:tc>
        <w:tc>
          <w:tcPr>
            <w:tcW w:w="702" w:type="dxa"/>
            <w:vMerge w:val="continue"/>
            <w:vAlign w:val="center"/>
          </w:tcPr>
          <w:p>
            <w:pPr>
              <w:spacing w:after="0" w:line="320" w:lineRule="exact"/>
              <w:jc w:val="center"/>
            </w:pPr>
          </w:p>
        </w:tc>
        <w:tc>
          <w:tcPr>
            <w:tcW w:w="1125" w:type="dxa"/>
            <w:vMerge w:val="continue"/>
            <w:vAlign w:val="center"/>
          </w:tcPr>
          <w:p/>
        </w:tc>
        <w:tc>
          <w:tcPr>
            <w:tcW w:w="1969" w:type="dxa"/>
            <w:vAlign w:val="center"/>
          </w:tcPr>
          <w:p>
            <w:pPr>
              <w:spacing w:after="0" w:line="280" w:lineRule="exact"/>
              <w:jc w:val="both"/>
            </w:pPr>
            <w:r>
              <w:t>面向全校服务，共享使用</w:t>
            </w:r>
            <w:r>
              <w:rPr>
                <w:rFonts w:hint="eastAsia"/>
              </w:rPr>
              <w:t>情况</w:t>
            </w:r>
          </w:p>
        </w:tc>
        <w:tc>
          <w:tcPr>
            <w:tcW w:w="702" w:type="dxa"/>
            <w:vAlign w:val="center"/>
          </w:tcPr>
          <w:p>
            <w:pPr>
              <w:spacing w:after="0" w:line="280" w:lineRule="exact"/>
              <w:jc w:val="center"/>
            </w:pPr>
            <w:r>
              <w:rPr>
                <w:rFonts w:hint="eastAsia"/>
              </w:rPr>
              <w:t>15</w:t>
            </w:r>
          </w:p>
        </w:tc>
        <w:tc>
          <w:tcPr>
            <w:tcW w:w="7885" w:type="dxa"/>
            <w:vAlign w:val="center"/>
          </w:tcPr>
          <w:p>
            <w:pPr>
              <w:spacing w:after="0" w:line="280" w:lineRule="exact"/>
              <w:jc w:val="both"/>
            </w:pPr>
            <w:r>
              <w:t>由</w:t>
            </w:r>
            <w:r>
              <w:rPr>
                <w:rFonts w:hint="eastAsia"/>
              </w:rPr>
              <w:t>实验与网络信息中心</w:t>
            </w:r>
            <w:r>
              <w:t>根据</w:t>
            </w:r>
            <w:r>
              <w:rPr>
                <w:rFonts w:hint="eastAsia"/>
              </w:rPr>
              <w:t>《聊城大学大型仪器设备开放共享管理办法》（聊大校发[2017]72号）考核赋分。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092" w:type="dxa"/>
            <w:vMerge w:val="restart"/>
            <w:vAlign w:val="center"/>
          </w:tcPr>
          <w:p>
            <w:pPr>
              <w:spacing w:after="0"/>
              <w:jc w:val="center"/>
            </w:pPr>
            <w:r>
              <w:t>信息化管理</w:t>
            </w:r>
          </w:p>
        </w:tc>
        <w:tc>
          <w:tcPr>
            <w:tcW w:w="702" w:type="dxa"/>
            <w:vMerge w:val="restart"/>
            <w:vAlign w:val="center"/>
          </w:tcPr>
          <w:p>
            <w:pPr>
              <w:spacing w:after="0" w:line="320" w:lineRule="exact"/>
              <w:jc w:val="center"/>
            </w:pPr>
            <w:r>
              <w:rPr>
                <w:rFonts w:hint="eastAsia"/>
              </w:rPr>
              <w:t>20</w:t>
            </w:r>
          </w:p>
        </w:tc>
        <w:tc>
          <w:tcPr>
            <w:tcW w:w="1125" w:type="dxa"/>
            <w:vMerge w:val="restart"/>
            <w:vAlign w:val="center"/>
          </w:tcPr>
          <w:p>
            <w:pPr>
              <w:spacing w:after="0" w:line="320" w:lineRule="exact"/>
              <w:jc w:val="center"/>
            </w:pPr>
            <w:r>
              <w:t>资产管理系统的使用与维护</w:t>
            </w:r>
          </w:p>
        </w:tc>
        <w:tc>
          <w:tcPr>
            <w:tcW w:w="1969" w:type="dxa"/>
            <w:vAlign w:val="center"/>
          </w:tcPr>
          <w:p>
            <w:pPr>
              <w:spacing w:after="0" w:line="280" w:lineRule="exact"/>
              <w:jc w:val="both"/>
            </w:pPr>
            <w:r>
              <w:t>资产管理系统</w:t>
            </w:r>
            <w:r>
              <w:rPr>
                <w:rFonts w:hint="eastAsia"/>
              </w:rPr>
              <w:t>使用情况</w:t>
            </w:r>
          </w:p>
        </w:tc>
        <w:tc>
          <w:tcPr>
            <w:tcW w:w="702" w:type="dxa"/>
            <w:vAlign w:val="center"/>
          </w:tcPr>
          <w:p>
            <w:pPr>
              <w:spacing w:after="0" w:line="280" w:lineRule="exact"/>
              <w:jc w:val="center"/>
            </w:pPr>
            <w:r>
              <w:rPr>
                <w:rFonts w:hint="eastAsia"/>
              </w:rPr>
              <w:t>15</w:t>
            </w:r>
          </w:p>
        </w:tc>
        <w:tc>
          <w:tcPr>
            <w:tcW w:w="7885" w:type="dxa"/>
            <w:vAlign w:val="center"/>
          </w:tcPr>
          <w:p>
            <w:pPr>
              <w:spacing w:after="0" w:line="280" w:lineRule="exact"/>
              <w:jc w:val="both"/>
            </w:pPr>
            <w:r>
              <w:rPr>
                <w:rFonts w:hint="eastAsia"/>
              </w:rPr>
              <w:t>1.国有资产管理系统：账实相符，及时维护资产信息（7分）</w:t>
            </w:r>
          </w:p>
          <w:p>
            <w:pPr>
              <w:spacing w:after="0" w:line="280" w:lineRule="exact"/>
              <w:jc w:val="both"/>
            </w:pPr>
            <w:r>
              <w:rPr>
                <w:rFonts w:hint="eastAsia"/>
              </w:rPr>
              <w:t>2.公用房屋管理系统：账实相符，及时维护系统信息，保证房间、面积、人员一致（5分）</w:t>
            </w:r>
          </w:p>
          <w:p>
            <w:pPr>
              <w:spacing w:after="0" w:line="280" w:lineRule="exact"/>
              <w:jc w:val="both"/>
            </w:pPr>
            <w:r>
              <w:rPr>
                <w:rFonts w:hint="eastAsia"/>
              </w:rPr>
              <w:t>3.聊城大学大型仪器设备共享平台：完善大型仪器的信息（3分）。</w:t>
            </w:r>
          </w:p>
        </w:tc>
        <w:tc>
          <w:tcPr>
            <w:tcW w:w="984" w:type="dxa"/>
          </w:tcPr>
          <w:p/>
        </w:tc>
        <w:tc>
          <w:tcPr>
            <w:tcW w:w="87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092" w:type="dxa"/>
            <w:vMerge w:val="continue"/>
          </w:tcPr>
          <w:p>
            <w:pPr>
              <w:spacing w:after="0"/>
            </w:pPr>
          </w:p>
        </w:tc>
        <w:tc>
          <w:tcPr>
            <w:tcW w:w="702" w:type="dxa"/>
            <w:vMerge w:val="continue"/>
          </w:tcPr>
          <w:p>
            <w:pPr>
              <w:spacing w:after="0" w:line="320" w:lineRule="exact"/>
            </w:pPr>
          </w:p>
        </w:tc>
        <w:tc>
          <w:tcPr>
            <w:tcW w:w="1125" w:type="dxa"/>
            <w:vMerge w:val="continue"/>
          </w:tcPr>
          <w:p>
            <w:pPr>
              <w:spacing w:after="0" w:line="320" w:lineRule="exact"/>
            </w:pPr>
          </w:p>
        </w:tc>
        <w:tc>
          <w:tcPr>
            <w:tcW w:w="1969" w:type="dxa"/>
            <w:vAlign w:val="center"/>
          </w:tcPr>
          <w:p>
            <w:pPr>
              <w:spacing w:after="0" w:line="280" w:lineRule="exact"/>
              <w:jc w:val="both"/>
            </w:pPr>
            <w:r>
              <w:t>资产数据</w:t>
            </w:r>
            <w:r>
              <w:rPr>
                <w:rFonts w:hint="eastAsia"/>
              </w:rPr>
              <w:t>维护情况</w:t>
            </w:r>
          </w:p>
        </w:tc>
        <w:tc>
          <w:tcPr>
            <w:tcW w:w="702" w:type="dxa"/>
            <w:vAlign w:val="center"/>
          </w:tcPr>
          <w:p>
            <w:pPr>
              <w:spacing w:after="0" w:line="280" w:lineRule="exact"/>
              <w:jc w:val="center"/>
            </w:pPr>
            <w:r>
              <w:rPr>
                <w:rFonts w:hint="eastAsia"/>
              </w:rPr>
              <w:t>5</w:t>
            </w:r>
          </w:p>
        </w:tc>
        <w:tc>
          <w:tcPr>
            <w:tcW w:w="7885" w:type="dxa"/>
            <w:vAlign w:val="center"/>
          </w:tcPr>
          <w:p>
            <w:pPr>
              <w:spacing w:after="0" w:line="280" w:lineRule="exact"/>
              <w:jc w:val="both"/>
            </w:pPr>
            <w:r>
              <w:t>及时准确完整上报各类资产数据</w:t>
            </w:r>
            <w:r>
              <w:rPr>
                <w:rFonts w:hint="eastAsia"/>
              </w:rPr>
              <w:t>（5分）。</w:t>
            </w:r>
          </w:p>
        </w:tc>
        <w:tc>
          <w:tcPr>
            <w:tcW w:w="984" w:type="dxa"/>
          </w:tcPr>
          <w:p/>
        </w:tc>
        <w:tc>
          <w:tcPr>
            <w:tcW w:w="877" w:type="dxa"/>
          </w:tcPr>
          <w:p/>
        </w:tc>
      </w:tr>
    </w:tbl>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sz w:val="36"/>
          <w:szCs w:val="36"/>
        </w:rPr>
      </w:pPr>
    </w:p>
    <w:p>
      <w:pPr>
        <w:spacing w:line="220" w:lineRule="atLeast"/>
        <w:rPr>
          <w:rFonts w:hint="eastAsia"/>
          <w:sz w:val="36"/>
          <w:szCs w:val="36"/>
        </w:rPr>
      </w:pPr>
      <w:r>
        <w:rPr>
          <w:rFonts w:hint="eastAsia"/>
          <w:sz w:val="36"/>
          <w:szCs w:val="36"/>
          <w:lang w:eastAsia="zh-CN"/>
        </w:rPr>
        <w:t>附件</w:t>
      </w:r>
      <w:r>
        <w:rPr>
          <w:rFonts w:hint="eastAsia"/>
          <w:sz w:val="36"/>
          <w:szCs w:val="36"/>
        </w:rPr>
        <w:t xml:space="preserve">5.                 </w:t>
      </w:r>
      <w:r>
        <w:rPr>
          <w:rFonts w:hint="eastAsia"/>
          <w:sz w:val="36"/>
          <w:szCs w:val="36"/>
          <w:lang w:val="en-US" w:eastAsia="zh-CN"/>
        </w:rPr>
        <w:t xml:space="preserve">  </w:t>
      </w:r>
      <w:r>
        <w:rPr>
          <w:rFonts w:hint="eastAsia"/>
          <w:sz w:val="36"/>
          <w:szCs w:val="36"/>
        </w:rPr>
        <w:t xml:space="preserve">  学院、科研单位国有资产绩效考核指标体系（C项）</w:t>
      </w:r>
    </w:p>
    <w:p>
      <w:pPr>
        <w:spacing w:line="220" w:lineRule="atLeast"/>
        <w:jc w:val="both"/>
        <w:rPr>
          <w:rFonts w:hint="default"/>
          <w:sz w:val="36"/>
          <w:szCs w:val="36"/>
          <w:lang w:val="en-US"/>
        </w:rPr>
      </w:pPr>
      <w:r>
        <w:rPr>
          <w:rFonts w:hint="eastAsia"/>
          <w:lang w:eastAsia="zh-CN"/>
        </w:rPr>
        <w:t>填报单位：（章</w:t>
      </w:r>
      <w:bookmarkStart w:id="0" w:name="_GoBack"/>
      <w:bookmarkEnd w:id="0"/>
      <w:r>
        <w:rPr>
          <w:rFonts w:hint="eastAsia"/>
          <w:lang w:eastAsia="zh-CN"/>
        </w:rPr>
        <w:t>）</w:t>
      </w:r>
    </w:p>
    <w:tbl>
      <w:tblPr>
        <w:tblStyle w:val="6"/>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05"/>
        <w:gridCol w:w="10851"/>
        <w:gridCol w:w="98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81" w:type="dxa"/>
            <w:vAlign w:val="center"/>
          </w:tcPr>
          <w:p>
            <w:pPr>
              <w:spacing w:after="0"/>
              <w:jc w:val="center"/>
            </w:pPr>
            <w:r>
              <w:t>项目内容</w:t>
            </w:r>
          </w:p>
        </w:tc>
        <w:tc>
          <w:tcPr>
            <w:tcW w:w="705" w:type="dxa"/>
            <w:vAlign w:val="center"/>
          </w:tcPr>
          <w:p>
            <w:pPr>
              <w:spacing w:after="0" w:line="320" w:lineRule="exact"/>
              <w:jc w:val="center"/>
            </w:pPr>
            <w:r>
              <w:t>分值</w:t>
            </w:r>
          </w:p>
        </w:tc>
        <w:tc>
          <w:tcPr>
            <w:tcW w:w="10851" w:type="dxa"/>
            <w:vAlign w:val="center"/>
          </w:tcPr>
          <w:p>
            <w:pPr>
              <w:spacing w:after="0" w:line="320" w:lineRule="exact"/>
              <w:jc w:val="center"/>
            </w:pPr>
            <w:r>
              <w:rPr>
                <w:rFonts w:hint="eastAsia"/>
              </w:rPr>
              <w:t>评分标准</w:t>
            </w:r>
          </w:p>
        </w:tc>
        <w:tc>
          <w:tcPr>
            <w:tcW w:w="987" w:type="dxa"/>
            <w:vAlign w:val="center"/>
          </w:tcPr>
          <w:p>
            <w:pPr>
              <w:jc w:val="center"/>
            </w:pPr>
            <w:r>
              <w:t>自评分</w:t>
            </w:r>
          </w:p>
        </w:tc>
        <w:tc>
          <w:tcPr>
            <w:tcW w:w="879" w:type="dxa"/>
            <w:vAlign w:val="center"/>
          </w:tcPr>
          <w:p>
            <w:pPr>
              <w:jc w:val="center"/>
            </w:pPr>
            <w:r>
              <w:rPr>
                <w:rFonts w:hint="eastAsia"/>
              </w:rP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081" w:type="dxa"/>
            <w:vMerge w:val="restart"/>
            <w:vAlign w:val="center"/>
          </w:tcPr>
          <w:p>
            <w:pPr>
              <w:spacing w:after="0"/>
              <w:jc w:val="center"/>
            </w:pPr>
            <w:r>
              <w:t>资产管理创新研究</w:t>
            </w:r>
          </w:p>
        </w:tc>
        <w:tc>
          <w:tcPr>
            <w:tcW w:w="705" w:type="dxa"/>
            <w:vMerge w:val="restart"/>
            <w:vAlign w:val="center"/>
          </w:tcPr>
          <w:p>
            <w:pPr>
              <w:spacing w:after="0" w:line="320" w:lineRule="exact"/>
              <w:jc w:val="center"/>
            </w:pPr>
            <w:r>
              <w:rPr>
                <w:rFonts w:hint="eastAsia"/>
              </w:rPr>
              <w:t>10</w:t>
            </w:r>
          </w:p>
        </w:tc>
        <w:tc>
          <w:tcPr>
            <w:tcW w:w="10851" w:type="dxa"/>
            <w:vAlign w:val="center"/>
          </w:tcPr>
          <w:p>
            <w:pPr>
              <w:spacing w:after="0" w:line="320" w:lineRule="exact"/>
              <w:jc w:val="both"/>
            </w:pPr>
            <w:r>
              <w:t>实践创新：</w:t>
            </w:r>
            <w:r>
              <w:rPr>
                <w:rFonts w:hint="eastAsia"/>
              </w:rPr>
              <w:t>本年度</w:t>
            </w:r>
            <w:r>
              <w:t>参与实验仪器设备自制等创新项目，</w:t>
            </w:r>
            <w:r>
              <w:rPr>
                <w:rFonts w:hint="eastAsia"/>
              </w:rPr>
              <w:t>并已投入使用</w:t>
            </w:r>
            <w:r>
              <w:t>（</w:t>
            </w:r>
            <w:r>
              <w:rPr>
                <w:rFonts w:hint="eastAsia"/>
              </w:rPr>
              <w:t>5</w:t>
            </w:r>
            <w:r>
              <w:t>）（每</w:t>
            </w:r>
            <w:r>
              <w:rPr>
                <w:rFonts w:hint="eastAsia"/>
              </w:rPr>
              <w:t>项1分，</w:t>
            </w:r>
            <w:r>
              <w:t>最</w:t>
            </w:r>
            <w:r>
              <w:rPr>
                <w:rFonts w:hint="eastAsia"/>
              </w:rPr>
              <w:t>多5分</w:t>
            </w:r>
            <w:r>
              <w:t>）</w:t>
            </w:r>
            <w:r>
              <w:rPr>
                <w:rFonts w:hint="eastAsia"/>
              </w:rPr>
              <w:t>。</w:t>
            </w:r>
          </w:p>
        </w:tc>
        <w:tc>
          <w:tcPr>
            <w:tcW w:w="987" w:type="dxa"/>
            <w:vMerge w:val="restart"/>
          </w:tcPr>
          <w:p/>
        </w:tc>
        <w:tc>
          <w:tcPr>
            <w:tcW w:w="879"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081" w:type="dxa"/>
            <w:vMerge w:val="continue"/>
            <w:vAlign w:val="center"/>
          </w:tcPr>
          <w:p>
            <w:pPr>
              <w:spacing w:after="0"/>
              <w:jc w:val="center"/>
            </w:pPr>
          </w:p>
        </w:tc>
        <w:tc>
          <w:tcPr>
            <w:tcW w:w="705" w:type="dxa"/>
            <w:vMerge w:val="continue"/>
            <w:vAlign w:val="center"/>
          </w:tcPr>
          <w:p>
            <w:pPr>
              <w:spacing w:after="0" w:line="320" w:lineRule="exact"/>
              <w:jc w:val="center"/>
            </w:pPr>
          </w:p>
        </w:tc>
        <w:tc>
          <w:tcPr>
            <w:tcW w:w="10851" w:type="dxa"/>
            <w:vAlign w:val="center"/>
          </w:tcPr>
          <w:p>
            <w:pPr>
              <w:spacing w:after="0" w:line="320" w:lineRule="exact"/>
              <w:jc w:val="both"/>
            </w:pPr>
            <w:r>
              <w:t>理论研究：</w:t>
            </w:r>
            <w:r>
              <w:rPr>
                <w:rFonts w:hint="eastAsia"/>
              </w:rPr>
              <w:t>本</w:t>
            </w:r>
            <w:r>
              <w:t>年度在</w:t>
            </w:r>
            <w:r>
              <w:rPr>
                <w:rFonts w:hint="eastAsia"/>
              </w:rPr>
              <w:t>公开出版的期刊（不包括增刊）</w:t>
            </w:r>
            <w:r>
              <w:t>发表与资产管理相关的学术论文或承担参与厅局级以上资产管理相关科研项目（</w:t>
            </w:r>
            <w:r>
              <w:rPr>
                <w:rFonts w:hint="eastAsia"/>
              </w:rPr>
              <w:t>5分</w:t>
            </w:r>
            <w:r>
              <w:t>）（每</w:t>
            </w:r>
            <w:r>
              <w:rPr>
                <w:rFonts w:hint="eastAsia"/>
              </w:rPr>
              <w:t>项1分，最多5分</w:t>
            </w:r>
            <w:r>
              <w:t>）</w:t>
            </w:r>
            <w:r>
              <w:rPr>
                <w:rFonts w:hint="eastAsia"/>
              </w:rPr>
              <w:t>。</w:t>
            </w:r>
          </w:p>
        </w:tc>
        <w:tc>
          <w:tcPr>
            <w:tcW w:w="987" w:type="dxa"/>
            <w:vMerge w:val="continue"/>
          </w:tcPr>
          <w:p/>
        </w:tc>
        <w:tc>
          <w:tcPr>
            <w:tcW w:w="8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081" w:type="dxa"/>
            <w:vAlign w:val="center"/>
          </w:tcPr>
          <w:p>
            <w:pPr>
              <w:spacing w:after="0"/>
              <w:jc w:val="center"/>
            </w:pPr>
            <w:r>
              <w:t>捐赠项目</w:t>
            </w:r>
          </w:p>
        </w:tc>
        <w:tc>
          <w:tcPr>
            <w:tcW w:w="705" w:type="dxa"/>
            <w:vAlign w:val="center"/>
          </w:tcPr>
          <w:p>
            <w:pPr>
              <w:spacing w:after="0"/>
              <w:jc w:val="center"/>
            </w:pPr>
            <w:r>
              <w:rPr>
                <w:rFonts w:hint="eastAsia"/>
              </w:rPr>
              <w:t>5</w:t>
            </w:r>
          </w:p>
        </w:tc>
        <w:tc>
          <w:tcPr>
            <w:tcW w:w="10851" w:type="dxa"/>
            <w:vAlign w:val="center"/>
          </w:tcPr>
          <w:p>
            <w:pPr>
              <w:spacing w:after="0"/>
              <w:jc w:val="both"/>
            </w:pPr>
            <w:r>
              <w:t>获得校外单位或个人</w:t>
            </w:r>
            <w:r>
              <w:rPr>
                <w:rFonts w:hint="eastAsia"/>
              </w:rPr>
              <w:t>捐赠</w:t>
            </w:r>
            <w:r>
              <w:t>国有资产项目，捐赠合同金额</w:t>
            </w:r>
            <w:r>
              <w:rPr>
                <w:rFonts w:hint="eastAsia"/>
              </w:rPr>
              <w:t>每5万元按1分计算（其他金额按相应比例计算，最多5分）。</w:t>
            </w:r>
          </w:p>
        </w:tc>
        <w:tc>
          <w:tcPr>
            <w:tcW w:w="987" w:type="dxa"/>
          </w:tcPr>
          <w:p/>
        </w:tc>
        <w:tc>
          <w:tcPr>
            <w:tcW w:w="8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81" w:type="dxa"/>
            <w:vAlign w:val="center"/>
          </w:tcPr>
          <w:p>
            <w:pPr>
              <w:jc w:val="center"/>
            </w:pPr>
            <w:r>
              <w:t>购置国有资产</w:t>
            </w:r>
          </w:p>
        </w:tc>
        <w:tc>
          <w:tcPr>
            <w:tcW w:w="705" w:type="dxa"/>
            <w:vAlign w:val="center"/>
          </w:tcPr>
          <w:p>
            <w:pPr>
              <w:jc w:val="center"/>
            </w:pPr>
            <w:r>
              <w:rPr>
                <w:rFonts w:hint="eastAsia"/>
              </w:rPr>
              <w:t>10</w:t>
            </w:r>
          </w:p>
        </w:tc>
        <w:tc>
          <w:tcPr>
            <w:tcW w:w="10851" w:type="dxa"/>
            <w:vAlign w:val="center"/>
          </w:tcPr>
          <w:p>
            <w:pPr>
              <w:jc w:val="both"/>
            </w:pPr>
            <w:r>
              <w:t>单位教职工科研课题经费（学校配套经费除外）购置国有资产，年度购置金额</w:t>
            </w:r>
            <w:r>
              <w:rPr>
                <w:rFonts w:hint="eastAsia"/>
              </w:rPr>
              <w:t>按理科每20万元、文科每5万元1分计算（其他金额按相应比例计算，最多10分）。</w:t>
            </w:r>
          </w:p>
        </w:tc>
        <w:tc>
          <w:tcPr>
            <w:tcW w:w="987" w:type="dxa"/>
          </w:tcPr>
          <w:p/>
        </w:tc>
        <w:tc>
          <w:tcPr>
            <w:tcW w:w="879" w:type="dxa"/>
          </w:tcPr>
          <w:p/>
        </w:tc>
      </w:tr>
    </w:tbl>
    <w:p>
      <w:pPr>
        <w:spacing w:line="220" w:lineRule="atLeast"/>
        <w:ind w:firstLine="1650" w:firstLineChars="750"/>
      </w:pPr>
    </w:p>
    <w:p>
      <w:pPr>
        <w:spacing w:line="220" w:lineRule="atLeast"/>
        <w:ind w:firstLine="1650" w:firstLineChars="750"/>
      </w:pPr>
    </w:p>
    <w:p>
      <w:pPr>
        <w:spacing w:line="220" w:lineRule="atLeast"/>
        <w:ind w:firstLine="1650" w:firstLineChars="750"/>
      </w:pPr>
    </w:p>
    <w:p>
      <w:pPr>
        <w:spacing w:line="220" w:lineRule="atLeast"/>
        <w:ind w:firstLine="1650" w:firstLineChars="750"/>
      </w:pPr>
    </w:p>
    <w:p>
      <w:pPr>
        <w:spacing w:line="220" w:lineRule="atLeast"/>
        <w:ind w:firstLine="1650" w:firstLineChars="750"/>
      </w:pPr>
    </w:p>
    <w:p>
      <w:pPr>
        <w:spacing w:line="220" w:lineRule="atLeast"/>
      </w:pPr>
    </w:p>
    <w:sectPr>
      <w:pgSz w:w="16838" w:h="11906" w:orient="landscape"/>
      <w:pgMar w:top="720" w:right="720" w:bottom="663" w:left="720"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D31D50"/>
    <w:rsid w:val="000168D5"/>
    <w:rsid w:val="0003096E"/>
    <w:rsid w:val="00042664"/>
    <w:rsid w:val="00062394"/>
    <w:rsid w:val="0006373B"/>
    <w:rsid w:val="00063E94"/>
    <w:rsid w:val="000822FB"/>
    <w:rsid w:val="00085DC1"/>
    <w:rsid w:val="00087CA6"/>
    <w:rsid w:val="00090BD4"/>
    <w:rsid w:val="000A3BDD"/>
    <w:rsid w:val="000C7F2C"/>
    <w:rsid w:val="000E280A"/>
    <w:rsid w:val="00113E2D"/>
    <w:rsid w:val="00133868"/>
    <w:rsid w:val="001366F3"/>
    <w:rsid w:val="001377BD"/>
    <w:rsid w:val="001955E1"/>
    <w:rsid w:val="001C2DD9"/>
    <w:rsid w:val="001F3409"/>
    <w:rsid w:val="00205743"/>
    <w:rsid w:val="002070FA"/>
    <w:rsid w:val="00234223"/>
    <w:rsid w:val="0024794C"/>
    <w:rsid w:val="0025180B"/>
    <w:rsid w:val="00257E85"/>
    <w:rsid w:val="00262BC4"/>
    <w:rsid w:val="002A7937"/>
    <w:rsid w:val="002C66D0"/>
    <w:rsid w:val="002E1B23"/>
    <w:rsid w:val="002E4950"/>
    <w:rsid w:val="00306D7D"/>
    <w:rsid w:val="00307849"/>
    <w:rsid w:val="00313BF2"/>
    <w:rsid w:val="00316A97"/>
    <w:rsid w:val="00320F3B"/>
    <w:rsid w:val="00321441"/>
    <w:rsid w:val="00323B43"/>
    <w:rsid w:val="00337D9E"/>
    <w:rsid w:val="00337F85"/>
    <w:rsid w:val="003405E4"/>
    <w:rsid w:val="003432A9"/>
    <w:rsid w:val="00354E23"/>
    <w:rsid w:val="00375FE2"/>
    <w:rsid w:val="00376E89"/>
    <w:rsid w:val="003828FC"/>
    <w:rsid w:val="00382CC4"/>
    <w:rsid w:val="00387BD7"/>
    <w:rsid w:val="00395554"/>
    <w:rsid w:val="003A1634"/>
    <w:rsid w:val="003A40B5"/>
    <w:rsid w:val="003D37D8"/>
    <w:rsid w:val="003F79E8"/>
    <w:rsid w:val="00411B94"/>
    <w:rsid w:val="00426133"/>
    <w:rsid w:val="004358AB"/>
    <w:rsid w:val="00435A61"/>
    <w:rsid w:val="0045045A"/>
    <w:rsid w:val="00481275"/>
    <w:rsid w:val="004968E5"/>
    <w:rsid w:val="004A7ADE"/>
    <w:rsid w:val="004D07D3"/>
    <w:rsid w:val="004E799D"/>
    <w:rsid w:val="004F3A04"/>
    <w:rsid w:val="005251DE"/>
    <w:rsid w:val="00531ACB"/>
    <w:rsid w:val="00531EB4"/>
    <w:rsid w:val="00537D21"/>
    <w:rsid w:val="00542724"/>
    <w:rsid w:val="00554892"/>
    <w:rsid w:val="00585F4F"/>
    <w:rsid w:val="00590E94"/>
    <w:rsid w:val="005A5BD4"/>
    <w:rsid w:val="005B303D"/>
    <w:rsid w:val="005B5ECB"/>
    <w:rsid w:val="005C31C4"/>
    <w:rsid w:val="005D20A5"/>
    <w:rsid w:val="005E54D9"/>
    <w:rsid w:val="005E7FEB"/>
    <w:rsid w:val="005F7F66"/>
    <w:rsid w:val="00616687"/>
    <w:rsid w:val="00622AB9"/>
    <w:rsid w:val="00625713"/>
    <w:rsid w:val="006367FF"/>
    <w:rsid w:val="00640E55"/>
    <w:rsid w:val="00653889"/>
    <w:rsid w:val="00684252"/>
    <w:rsid w:val="006A5C35"/>
    <w:rsid w:val="006B0A05"/>
    <w:rsid w:val="006D45BC"/>
    <w:rsid w:val="006F505D"/>
    <w:rsid w:val="00722FCF"/>
    <w:rsid w:val="00724FAD"/>
    <w:rsid w:val="00743737"/>
    <w:rsid w:val="007A3115"/>
    <w:rsid w:val="007B44E5"/>
    <w:rsid w:val="007C115E"/>
    <w:rsid w:val="007C600D"/>
    <w:rsid w:val="007D40BF"/>
    <w:rsid w:val="007E4B68"/>
    <w:rsid w:val="007F1D9F"/>
    <w:rsid w:val="0080478F"/>
    <w:rsid w:val="008050DF"/>
    <w:rsid w:val="008107DD"/>
    <w:rsid w:val="00844A3B"/>
    <w:rsid w:val="00856B52"/>
    <w:rsid w:val="00864B1F"/>
    <w:rsid w:val="008806DB"/>
    <w:rsid w:val="008A630B"/>
    <w:rsid w:val="008B3437"/>
    <w:rsid w:val="008B7726"/>
    <w:rsid w:val="008C1A3D"/>
    <w:rsid w:val="008D0EDE"/>
    <w:rsid w:val="008D6CA9"/>
    <w:rsid w:val="008F1F00"/>
    <w:rsid w:val="0090474A"/>
    <w:rsid w:val="00912D45"/>
    <w:rsid w:val="00914C09"/>
    <w:rsid w:val="00943C8F"/>
    <w:rsid w:val="00950779"/>
    <w:rsid w:val="00965F21"/>
    <w:rsid w:val="009725EB"/>
    <w:rsid w:val="00974186"/>
    <w:rsid w:val="00991F98"/>
    <w:rsid w:val="0099526E"/>
    <w:rsid w:val="009A096A"/>
    <w:rsid w:val="009A714F"/>
    <w:rsid w:val="009D2152"/>
    <w:rsid w:val="009D4403"/>
    <w:rsid w:val="009D4DAF"/>
    <w:rsid w:val="009E63AA"/>
    <w:rsid w:val="00A11706"/>
    <w:rsid w:val="00A25D01"/>
    <w:rsid w:val="00A302F5"/>
    <w:rsid w:val="00A37F90"/>
    <w:rsid w:val="00A42A45"/>
    <w:rsid w:val="00A62F13"/>
    <w:rsid w:val="00A65D9A"/>
    <w:rsid w:val="00A92988"/>
    <w:rsid w:val="00A9305B"/>
    <w:rsid w:val="00AA09AA"/>
    <w:rsid w:val="00AA2968"/>
    <w:rsid w:val="00AA387F"/>
    <w:rsid w:val="00AA765B"/>
    <w:rsid w:val="00AB3462"/>
    <w:rsid w:val="00AB44F0"/>
    <w:rsid w:val="00AD4BD3"/>
    <w:rsid w:val="00AE3339"/>
    <w:rsid w:val="00AE4AF1"/>
    <w:rsid w:val="00AE67D4"/>
    <w:rsid w:val="00B065A2"/>
    <w:rsid w:val="00B217B3"/>
    <w:rsid w:val="00B23408"/>
    <w:rsid w:val="00B3453D"/>
    <w:rsid w:val="00B604F7"/>
    <w:rsid w:val="00B63E5A"/>
    <w:rsid w:val="00B656D5"/>
    <w:rsid w:val="00B70BFB"/>
    <w:rsid w:val="00B70DA8"/>
    <w:rsid w:val="00B71F9B"/>
    <w:rsid w:val="00BA1838"/>
    <w:rsid w:val="00BA7E47"/>
    <w:rsid w:val="00BC0013"/>
    <w:rsid w:val="00BD0053"/>
    <w:rsid w:val="00BD169D"/>
    <w:rsid w:val="00BD6765"/>
    <w:rsid w:val="00BD7EDD"/>
    <w:rsid w:val="00C150AE"/>
    <w:rsid w:val="00C41810"/>
    <w:rsid w:val="00C74578"/>
    <w:rsid w:val="00C74D06"/>
    <w:rsid w:val="00CB3287"/>
    <w:rsid w:val="00CC3204"/>
    <w:rsid w:val="00CC4D76"/>
    <w:rsid w:val="00CE4169"/>
    <w:rsid w:val="00CF688F"/>
    <w:rsid w:val="00D31D50"/>
    <w:rsid w:val="00D32C4B"/>
    <w:rsid w:val="00D46FFC"/>
    <w:rsid w:val="00D50E0B"/>
    <w:rsid w:val="00D564C6"/>
    <w:rsid w:val="00D65033"/>
    <w:rsid w:val="00D72930"/>
    <w:rsid w:val="00D76F2D"/>
    <w:rsid w:val="00D902BE"/>
    <w:rsid w:val="00DA19C7"/>
    <w:rsid w:val="00DC11A1"/>
    <w:rsid w:val="00DC6654"/>
    <w:rsid w:val="00DE1EDE"/>
    <w:rsid w:val="00DF76C6"/>
    <w:rsid w:val="00E039A2"/>
    <w:rsid w:val="00E145C8"/>
    <w:rsid w:val="00E1533D"/>
    <w:rsid w:val="00E27770"/>
    <w:rsid w:val="00E51C43"/>
    <w:rsid w:val="00E71B8F"/>
    <w:rsid w:val="00ED5A4A"/>
    <w:rsid w:val="00EE00AB"/>
    <w:rsid w:val="00EF5535"/>
    <w:rsid w:val="00F14C33"/>
    <w:rsid w:val="00F25771"/>
    <w:rsid w:val="00F529E1"/>
    <w:rsid w:val="00F53507"/>
    <w:rsid w:val="00F621A4"/>
    <w:rsid w:val="00F74A33"/>
    <w:rsid w:val="00F869B0"/>
    <w:rsid w:val="00F93FE2"/>
    <w:rsid w:val="00FA51A8"/>
    <w:rsid w:val="00FB32B6"/>
    <w:rsid w:val="00FB7E5F"/>
    <w:rsid w:val="00FC063A"/>
    <w:rsid w:val="00FC10A6"/>
    <w:rsid w:val="00FC7991"/>
    <w:rsid w:val="09A86F2A"/>
    <w:rsid w:val="134E5FB6"/>
    <w:rsid w:val="14B25FE4"/>
    <w:rsid w:val="1EC024E3"/>
    <w:rsid w:val="28D13C3C"/>
    <w:rsid w:val="58782FF9"/>
    <w:rsid w:val="5FDB47B5"/>
    <w:rsid w:val="7359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12"/>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pPr>
      <w:spacing w:after="0"/>
    </w:pPr>
    <w:rPr>
      <w:sz w:val="18"/>
      <w:szCs w:val="18"/>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uiPriority w:val="99"/>
    <w:rPr>
      <w:rFonts w:ascii="Tahoma" w:hAnsi="Tahoma" w:cs="Times New Roman"/>
      <w:sz w:val="18"/>
      <w:szCs w:val="18"/>
    </w:rPr>
  </w:style>
  <w:style w:type="character" w:customStyle="1" w:styleId="12">
    <w:name w:val="标题 2 Char"/>
    <w:basedOn w:val="7"/>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29F05-7E6C-4057-96F7-852D817EEF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383</Words>
  <Characters>2189</Characters>
  <Lines>18</Lines>
  <Paragraphs>5</Paragraphs>
  <TotalTime>1</TotalTime>
  <ScaleCrop>false</ScaleCrop>
  <LinksUpToDate>false</LinksUpToDate>
  <CharactersWithSpaces>2567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2020-01-02T06:50:00Z</dcterms:created>
  <dc:creator>Administrator</dc:creator>
  <cp:lastModifiedBy>莜蔻</cp:lastModifiedBy>
  <cp:lastPrinted>2020-01-09T08:17:00Z</cp:lastPrinted>
  <dcterms:modified xsi:type="dcterms:W3CDTF">2020-12-14T06:52:04Z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